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La scaleup española especializada en la gestión integral y asesoramiento de viajes de negocios</w:t>
      </w:r>
    </w:p>
    <w:p w:rsidR="00000000" w:rsidDel="00000000" w:rsidP="00000000" w:rsidRDefault="00000000" w:rsidRPr="00000000" w14:paraId="00000002">
      <w:pPr>
        <w:ind w:left="720" w:firstLine="0"/>
        <w:jc w:val="center"/>
        <w:rPr>
          <w:b w:val="1"/>
          <w:sz w:val="40"/>
          <w:szCs w:val="40"/>
        </w:rPr>
      </w:pPr>
      <w:r w:rsidDel="00000000" w:rsidR="00000000" w:rsidRPr="00000000">
        <w:rPr>
          <w:rtl w:val="0"/>
        </w:rPr>
      </w:r>
    </w:p>
    <w:p w:rsidR="00000000" w:rsidDel="00000000" w:rsidP="00000000" w:rsidRDefault="00000000" w:rsidRPr="00000000" w14:paraId="00000003">
      <w:pPr>
        <w:ind w:left="720" w:firstLine="0"/>
        <w:jc w:val="center"/>
        <w:rPr>
          <w:b w:val="1"/>
          <w:sz w:val="40"/>
          <w:szCs w:val="40"/>
        </w:rPr>
      </w:pPr>
      <w:r w:rsidDel="00000000" w:rsidR="00000000" w:rsidRPr="00000000">
        <w:rPr>
          <w:b w:val="1"/>
          <w:sz w:val="40"/>
          <w:szCs w:val="40"/>
          <w:rtl w:val="0"/>
        </w:rPr>
        <w:t xml:space="preserve">Consultia Business Travel cierra el 2024 con un crecimiento de más del 20%</w:t>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sz w:val="40"/>
          <w:szCs w:val="4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360" w:hanging="360"/>
        <w:jc w:val="both"/>
        <w:rPr>
          <w:b w:val="1"/>
          <w:i w:val="1"/>
          <w:color w:val="000000"/>
        </w:rPr>
      </w:pPr>
      <w:r w:rsidDel="00000000" w:rsidR="00000000" w:rsidRPr="00000000">
        <w:rPr>
          <w:b w:val="1"/>
          <w:rtl w:val="0"/>
        </w:rPr>
        <w:t xml:space="preserve">La compañía de capital español cerró el ejercicio de 2024 con una facturación de 32.5 millones de euros, lo que supone un crecimiento cuatro veces  superior al del mercado del Business Travel</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20" w:firstLine="0"/>
        <w:rPr>
          <w:b w:val="1"/>
          <w:color w:val="00000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360" w:hanging="360"/>
        <w:jc w:val="both"/>
        <w:rPr>
          <w:b w:val="1"/>
          <w:i w:val="1"/>
          <w:color w:val="000000"/>
        </w:rPr>
      </w:pPr>
      <w:r w:rsidDel="00000000" w:rsidR="00000000" w:rsidRPr="00000000">
        <w:rPr>
          <w:b w:val="1"/>
          <w:rtl w:val="0"/>
        </w:rPr>
        <w:t xml:space="preserve">El crecimiento de la compañía se ha debido a la suscripción de nuevos clientes, nacionales e internacionales a Destinux y el fortalecimiento de su área MICE</w:t>
      </w: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318615</wp:posOffset>
            </wp:positionH>
            <wp:positionV relativeFrom="paragraph">
              <wp:posOffset>283914</wp:posOffset>
            </wp:positionV>
            <wp:extent cx="4762500" cy="3182020"/>
            <wp:effectExtent b="0" l="0" r="0" t="0"/>
            <wp:wrapNone/>
            <wp:docPr id="5" name="image2.jpg"/>
            <a:graphic>
              <a:graphicData uri="http://schemas.openxmlformats.org/drawingml/2006/picture">
                <pic:pic>
                  <pic:nvPicPr>
                    <pic:cNvPr id="0" name="image2.jpg"/>
                    <pic:cNvPicPr preferRelativeResize="0"/>
                  </pic:nvPicPr>
                  <pic:blipFill>
                    <a:blip r:embed="rId7"/>
                    <a:srcRect b="8972" l="0" r="0" t="0"/>
                    <a:stretch>
                      <a:fillRect/>
                    </a:stretch>
                  </pic:blipFill>
                  <pic:spPr>
                    <a:xfrm>
                      <a:off x="0" y="0"/>
                      <a:ext cx="4762500" cy="3182020"/>
                    </a:xfrm>
                    <a:prstGeom prst="rect"/>
                    <a:ln/>
                  </pic:spPr>
                </pic:pic>
              </a:graphicData>
            </a:graphic>
          </wp:anchor>
        </w:drawing>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rtl w:val="0"/>
        </w:rPr>
        <w:t xml:space="preserve">Madrid, 28 de enero de 2025.- </w:t>
      </w:r>
      <w:hyperlink r:id="rId8">
        <w:r w:rsidDel="00000000" w:rsidR="00000000" w:rsidRPr="00000000">
          <w:rPr>
            <w:color w:val="1155cc"/>
            <w:u w:val="single"/>
            <w:rtl w:val="0"/>
          </w:rPr>
          <w:t xml:space="preserve">Consultia Business Travel</w:t>
        </w:r>
      </w:hyperlink>
      <w:r w:rsidDel="00000000" w:rsidR="00000000" w:rsidRPr="00000000">
        <w:rPr>
          <w:rtl w:val="0"/>
        </w:rPr>
        <w:t xml:space="preserve">, compañía española especializada en la gestión integral de viajes de negocios, cierra el ejercicio 2024 con una </w:t>
      </w:r>
      <w:r w:rsidDel="00000000" w:rsidR="00000000" w:rsidRPr="00000000">
        <w:rPr>
          <w:b w:val="1"/>
          <w:rtl w:val="0"/>
        </w:rPr>
        <w:t xml:space="preserve">facturación de 32.5  millones de euros en España y Portugal y un Ebitda de 750 mil euros, </w:t>
      </w:r>
      <w:r w:rsidDel="00000000" w:rsidR="00000000" w:rsidRPr="00000000">
        <w:rPr>
          <w:highlight w:val="white"/>
          <w:rtl w:val="0"/>
        </w:rPr>
        <w:t xml:space="preserve"> </w:t>
      </w:r>
      <w:r w:rsidDel="00000000" w:rsidR="00000000" w:rsidRPr="00000000">
        <w:rPr>
          <w:b w:val="1"/>
          <w:rtl w:val="0"/>
        </w:rPr>
        <w:t xml:space="preserve">lo que supone crecimientos del 20% y del 80%  respecto a 2023</w:t>
      </w:r>
      <w:r w:rsidDel="00000000" w:rsidR="00000000" w:rsidRPr="00000000">
        <w:rPr>
          <w:rtl w:val="0"/>
        </w:rPr>
        <w:t xml:space="preserve">. Esto ha sido posible gracias a su solución </w:t>
      </w:r>
      <w:r w:rsidDel="00000000" w:rsidR="00000000" w:rsidRPr="00000000">
        <w:rPr>
          <w:b w:val="1"/>
          <w:rtl w:val="0"/>
        </w:rPr>
        <w:t xml:space="preserve">Destinux,</w:t>
      </w:r>
      <w:r w:rsidDel="00000000" w:rsidR="00000000" w:rsidRPr="00000000">
        <w:rPr>
          <w:rtl w:val="0"/>
        </w:rPr>
        <w:t xml:space="preserve"> que digitaliza la gestión de los viajes corporativos sin perder el trato humano. Además, la compañía ha logrado un significativo crecimiento de su área </w:t>
      </w:r>
      <w:r w:rsidDel="00000000" w:rsidR="00000000" w:rsidRPr="00000000">
        <w:rPr>
          <w:b w:val="1"/>
          <w:rtl w:val="0"/>
        </w:rPr>
        <w:t xml:space="preserve">MICE, </w:t>
      </w:r>
      <w:r w:rsidDel="00000000" w:rsidR="00000000" w:rsidRPr="00000000">
        <w:rPr>
          <w:rtl w:val="0"/>
        </w:rPr>
        <w:t xml:space="preserve">gracias al aumento de la demanda de la organización de eventos corporativos, lo que le ha permitido un </w:t>
      </w:r>
      <w:r w:rsidDel="00000000" w:rsidR="00000000" w:rsidRPr="00000000">
        <w:rPr>
          <w:b w:val="1"/>
          <w:rtl w:val="0"/>
        </w:rPr>
        <w:t xml:space="preserve">crecimiento </w:t>
      </w:r>
      <w:r w:rsidDel="00000000" w:rsidR="00000000" w:rsidRPr="00000000">
        <w:rPr>
          <w:rtl w:val="0"/>
        </w:rPr>
        <w:t xml:space="preserve">de sus ventas </w:t>
      </w:r>
      <w:r w:rsidDel="00000000" w:rsidR="00000000" w:rsidRPr="00000000">
        <w:rPr>
          <w:b w:val="1"/>
          <w:rtl w:val="0"/>
        </w:rPr>
        <w:t xml:space="preserve">de un 100%</w:t>
      </w:r>
      <w:r w:rsidDel="00000000" w:rsidR="00000000" w:rsidRPr="00000000">
        <w:rPr>
          <w:rtl w:val="0"/>
        </w:rPr>
        <w:t xml:space="preserve"> en comparación con el año anterior, consolidando así su posición en el sector.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Tasa de crecimiento muy superior a la media del sector y buenas perspectivas</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Estos resultados son superiores a la media del mercado ya que según </w:t>
      </w:r>
      <w:r w:rsidDel="00000000" w:rsidR="00000000" w:rsidRPr="00000000">
        <w:rPr>
          <w:b w:val="1"/>
          <w:rtl w:val="0"/>
        </w:rPr>
        <w:t xml:space="preserve">GEBTA</w:t>
      </w:r>
      <w:r w:rsidDel="00000000" w:rsidR="00000000" w:rsidRPr="00000000">
        <w:rPr>
          <w:rtl w:val="0"/>
        </w:rPr>
        <w:t xml:space="preserve">  se estima un aumento del 5% en 2024 en el mercado de viajes corporativos. Por otro lado, es necesario tener en cuenta la situación adversa que vivió la compañía con el impacto de la DANA, que afectó a parte del equipo humano y su oficina central situada en la zona cero, sin que se viera afectada la atención al cliente.</w:t>
      </w:r>
    </w:p>
    <w:p w:rsidR="00000000" w:rsidDel="00000000" w:rsidP="00000000" w:rsidRDefault="00000000" w:rsidRPr="00000000" w14:paraId="00000025">
      <w:pPr>
        <w:spacing w:after="240" w:before="240" w:lineRule="auto"/>
        <w:jc w:val="both"/>
        <w:rPr>
          <w:i w:val="1"/>
        </w:rPr>
      </w:pPr>
      <w:r w:rsidDel="00000000" w:rsidR="00000000" w:rsidRPr="00000000">
        <w:rPr>
          <w:rtl w:val="0"/>
        </w:rPr>
        <w:t xml:space="preserve">En opinión de Carlos Martínez, CEO de Consultia Business Travel, </w:t>
      </w:r>
      <w:r w:rsidDel="00000000" w:rsidR="00000000" w:rsidRPr="00000000">
        <w:rPr>
          <w:i w:val="1"/>
          <w:rtl w:val="0"/>
        </w:rPr>
        <w:t xml:space="preserve">“los resultados que hemos conseguido en 2024 no habrían sido posible sin el apoyo de nuestros clientes y colaboradores, y, especialmente, de nuestro equipo, que ha demostrado un compromiso excepcional a pesar de los efectos de la DANA. Enhorabuena a todo el equipo.”</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Según Martínez, la compañía prevé continuar su crecimiento a un ritmo similar en 2025, impulsado por la internacionalización y el desarrollo del canal comercial, tanto a nivel nacional como internacional, profundizando en su estrategia de expansión y mejora continua.</w:t>
      </w:r>
    </w:p>
    <w:p w:rsidR="00000000" w:rsidDel="00000000" w:rsidP="00000000" w:rsidRDefault="00000000" w:rsidRPr="00000000" w14:paraId="00000027">
      <w:pPr>
        <w:spacing w:after="240" w:before="240" w:lineRule="auto"/>
        <w:jc w:val="both"/>
        <w:rPr>
          <w:b w:val="1"/>
          <w:i w:val="1"/>
        </w:rPr>
      </w:pPr>
      <w:r w:rsidDel="00000000" w:rsidR="00000000" w:rsidRPr="00000000">
        <w:rPr>
          <w:b w:val="1"/>
          <w:rtl w:val="0"/>
        </w:rPr>
        <w:t xml:space="preserve">Crecimiento en sus dos divisiones de negocio</w: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t xml:space="preserve">El crecimiento de Consultia Business Travel en 2024 está impulsado por la creciente necesidad de las empresas de </w:t>
      </w:r>
      <w:r w:rsidDel="00000000" w:rsidR="00000000" w:rsidRPr="00000000">
        <w:rPr>
          <w:b w:val="1"/>
          <w:rtl w:val="0"/>
        </w:rPr>
        <w:t xml:space="preserve">digitalizar la gestión de sus viajes corporativos, un área que tradicionalmente se ha manejado de forma manual</w:t>
      </w:r>
      <w:r w:rsidDel="00000000" w:rsidR="00000000" w:rsidRPr="00000000">
        <w:rPr>
          <w:rtl w:val="0"/>
        </w:rPr>
        <w:t xml:space="preserve">. Esta transformación responde a la búsqueda de mayor eficiencia y una significativa reducción de costes, sin renunciar al valor añadido de mantener un trato humano personalizado.</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La expansión de su solución tecnológica, </w:t>
      </w:r>
      <w:r w:rsidDel="00000000" w:rsidR="00000000" w:rsidRPr="00000000">
        <w:rPr>
          <w:b w:val="1"/>
          <w:rtl w:val="0"/>
        </w:rPr>
        <w:t xml:space="preserve">Destinux</w:t>
      </w:r>
      <w:r w:rsidDel="00000000" w:rsidR="00000000" w:rsidRPr="00000000">
        <w:rPr>
          <w:rtl w:val="0"/>
        </w:rPr>
        <w:t xml:space="preserve">, a un número creciente de empresas ha sido el motor principal de este avance. Compañías líderes como </w:t>
      </w:r>
      <w:r w:rsidDel="00000000" w:rsidR="00000000" w:rsidRPr="00000000">
        <w:rPr>
          <w:b w:val="1"/>
          <w:rtl w:val="0"/>
        </w:rPr>
        <w:t xml:space="preserve">Cementos Molins, Hoff, Pikolinos y Medline Europe</w:t>
      </w:r>
      <w:r w:rsidDel="00000000" w:rsidR="00000000" w:rsidRPr="00000000">
        <w:rPr>
          <w:rtl w:val="0"/>
        </w:rPr>
        <w:t xml:space="preserve"> han confiado en esta propuesta para transformar la gestión de sus viajes corporativos, logrando una mayor eficiencia operativa y optimización de costes mientras mantienen un enfoque humano y personalizado. De esta forma, Destinux se ha implementado en compañías de </w:t>
      </w:r>
      <w:r w:rsidDel="00000000" w:rsidR="00000000" w:rsidRPr="00000000">
        <w:rPr>
          <w:b w:val="1"/>
          <w:rtl w:val="0"/>
        </w:rPr>
        <w:t xml:space="preserve">14 países</w:t>
      </w:r>
      <w:r w:rsidDel="00000000" w:rsidR="00000000" w:rsidRPr="00000000">
        <w:rPr>
          <w:rtl w:val="0"/>
        </w:rPr>
        <w:t xml:space="preserve">, lo que supone una consolidación de su proceso de </w:t>
      </w:r>
      <w:r w:rsidDel="00000000" w:rsidR="00000000" w:rsidRPr="00000000">
        <w:rPr>
          <w:b w:val="1"/>
          <w:rtl w:val="0"/>
        </w:rPr>
        <w:t xml:space="preserve">expansión nacional e internacional</w:t>
      </w:r>
      <w:r w:rsidDel="00000000" w:rsidR="00000000" w:rsidRPr="00000000">
        <w:rPr>
          <w:rtl w:val="0"/>
        </w:rPr>
        <w:t xml:space="preserve"> y la garantía de tener una solución global preparada para operar y mejorar los resultados de las empresas ubicadas en los distintos países.</w:t>
      </w:r>
    </w:p>
    <w:p w:rsidR="00000000" w:rsidDel="00000000" w:rsidP="00000000" w:rsidRDefault="00000000" w:rsidRPr="00000000" w14:paraId="0000002A">
      <w:pPr>
        <w:spacing w:after="240" w:before="240" w:lineRule="auto"/>
        <w:jc w:val="both"/>
        <w:rPr>
          <w:b w:val="1"/>
        </w:rPr>
      </w:pPr>
      <w:r w:rsidDel="00000000" w:rsidR="00000000" w:rsidRPr="00000000">
        <w:rPr>
          <w:b w:val="1"/>
          <w:rtl w:val="0"/>
        </w:rPr>
        <w:t xml:space="preserve">Necesidad de reunirse con clientes y empleados</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Tras la implementación del teletrabajo durante la pandemia, el sector MICE ha adquirido una relevancia clave al satisfacer la necesidad de reuniones presenciales, esenciales para fortalecer equipos, generar sinergias y ofrecer incentivos que promuevan la conexión y la motivación de los empleados. El </w:t>
      </w:r>
      <w:r w:rsidDel="00000000" w:rsidR="00000000" w:rsidRPr="00000000">
        <w:rPr>
          <w:b w:val="1"/>
          <w:rtl w:val="0"/>
        </w:rPr>
        <w:t xml:space="preserve">servicio MICE de Consultia Business Travel</w:t>
      </w:r>
      <w:r w:rsidDel="00000000" w:rsidR="00000000" w:rsidRPr="00000000">
        <w:rPr>
          <w:rtl w:val="0"/>
        </w:rPr>
        <w:t xml:space="preserve"> responde a esta demanda ofreciendo soluciones innovadoras y personalizadas que aportan un valor estratégico a las empresas.</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Consultia ha logrado duplicar la facturación en esta área de negocio, consolidándose como un aliado estratégico para clientes como </w:t>
      </w:r>
      <w:r w:rsidDel="00000000" w:rsidR="00000000" w:rsidRPr="00000000">
        <w:rPr>
          <w:b w:val="1"/>
          <w:rtl w:val="0"/>
        </w:rPr>
        <w:t xml:space="preserve">Seedtag </w:t>
      </w:r>
      <w:r w:rsidDel="00000000" w:rsidR="00000000" w:rsidRPr="00000000">
        <w:rPr>
          <w:rtl w:val="0"/>
        </w:rPr>
        <w:t xml:space="preserve">y otras destacadas empresas del mercado. A través de su experiencia y compromiso, ha diseñado eventos únicos que generan un impacto positivo y alinean a las organizaciones con las demandas y necesidades del futuro.</w:t>
      </w:r>
    </w:p>
    <w:p w:rsidR="00000000" w:rsidDel="00000000" w:rsidP="00000000" w:rsidRDefault="00000000" w:rsidRPr="00000000" w14:paraId="0000002D">
      <w:pPr>
        <w:spacing w:after="240" w:before="240" w:lineRule="auto"/>
        <w:jc w:val="both"/>
        <w:rPr>
          <w:b w:val="1"/>
        </w:rPr>
      </w:pPr>
      <w:r w:rsidDel="00000000" w:rsidR="00000000" w:rsidRPr="00000000">
        <w:rPr>
          <w:rtl w:val="0"/>
        </w:rPr>
      </w:r>
    </w:p>
    <w:p w:rsidR="00000000" w:rsidDel="00000000" w:rsidP="00000000" w:rsidRDefault="00000000" w:rsidRPr="00000000" w14:paraId="0000002E">
      <w:pPr>
        <w:spacing w:after="240" w:before="240" w:lineRule="auto"/>
        <w:jc w:val="both"/>
        <w:rPr>
          <w:b w:val="1"/>
        </w:rPr>
      </w:pPr>
      <w:r w:rsidDel="00000000" w:rsidR="00000000" w:rsidRPr="00000000">
        <w:rPr>
          <w:rtl w:val="0"/>
        </w:rPr>
      </w:r>
    </w:p>
    <w:p w:rsidR="00000000" w:rsidDel="00000000" w:rsidP="00000000" w:rsidRDefault="00000000" w:rsidRPr="00000000" w14:paraId="0000002F">
      <w:pPr>
        <w:spacing w:after="240" w:before="240" w:lineRule="auto"/>
        <w:jc w:val="both"/>
        <w:rPr/>
      </w:pPr>
      <w:r w:rsidDel="00000000" w:rsidR="00000000" w:rsidRPr="00000000">
        <w:rPr>
          <w:b w:val="1"/>
          <w:rtl w:val="0"/>
        </w:rPr>
        <w:t xml:space="preserve">Nuevas funcionalidades y alianzas estratégicas</w:t>
      </w: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rtl w:val="0"/>
        </w:rPr>
        <w:t xml:space="preserve">Durante el ejercicio 2024, Consultia ha continuado proveyendo soluciones a los problemas reales del cliente de Business Travel, lo que les ha permitido incorporar nuevas capacidades y funcionalidades en </w:t>
      </w:r>
      <w:r w:rsidDel="00000000" w:rsidR="00000000" w:rsidRPr="00000000">
        <w:rPr>
          <w:b w:val="1"/>
          <w:rtl w:val="0"/>
        </w:rPr>
        <w:t xml:space="preserve">Destinux</w:t>
      </w:r>
      <w:r w:rsidDel="00000000" w:rsidR="00000000" w:rsidRPr="00000000">
        <w:rPr>
          <w:rtl w:val="0"/>
        </w:rPr>
        <w:t xml:space="preserve">, como es el caso del consolidador con más de </w:t>
      </w:r>
      <w:r w:rsidDel="00000000" w:rsidR="00000000" w:rsidRPr="00000000">
        <w:rPr>
          <w:b w:val="1"/>
          <w:rtl w:val="0"/>
        </w:rPr>
        <w:t xml:space="preserve">600.000 apartamentos</w:t>
      </w:r>
      <w:r w:rsidDel="00000000" w:rsidR="00000000" w:rsidRPr="00000000">
        <w:rPr>
          <w:rtl w:val="0"/>
        </w:rPr>
        <w:t xml:space="preserve"> para dar respuesta a la necesidad de reservar este tipo de alojamiento para viajes de grupo o trabajos de larga duración o incrementando la seguridad cibernética al implementar funciones en su plataforma como el </w:t>
      </w:r>
      <w:r w:rsidDel="00000000" w:rsidR="00000000" w:rsidRPr="00000000">
        <w:rPr>
          <w:b w:val="1"/>
          <w:rtl w:val="0"/>
        </w:rPr>
        <w:t xml:space="preserve">single sign-on</w:t>
      </w:r>
      <w:r w:rsidDel="00000000" w:rsidR="00000000" w:rsidRPr="00000000">
        <w:rPr>
          <w:rtl w:val="0"/>
        </w:rPr>
        <w:t xml:space="preserve">.</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Paralelamente, ha consolidado su canal de distribución de Destinux, con la colaboración de </w:t>
      </w:r>
      <w:r w:rsidDel="00000000" w:rsidR="00000000" w:rsidRPr="00000000">
        <w:rPr>
          <w:b w:val="1"/>
          <w:rtl w:val="0"/>
        </w:rPr>
        <w:t xml:space="preserve">V-Valley</w:t>
      </w:r>
      <w:r w:rsidDel="00000000" w:rsidR="00000000" w:rsidRPr="00000000">
        <w:rPr>
          <w:rtl w:val="0"/>
        </w:rPr>
        <w:t xml:space="preserve">, y el respaldo de </w:t>
      </w:r>
      <w:r w:rsidDel="00000000" w:rsidR="00000000" w:rsidRPr="00000000">
        <w:rPr>
          <w:b w:val="1"/>
          <w:rtl w:val="0"/>
        </w:rPr>
        <w:t xml:space="preserve">Microsoft</w:t>
      </w:r>
      <w:r w:rsidDel="00000000" w:rsidR="00000000" w:rsidRPr="00000000">
        <w:rPr>
          <w:rtl w:val="0"/>
        </w:rPr>
        <w:t xml:space="preserve">, un paso fundamental para ampliar su presencia en el mercado y llegar a más empresas que busquen soluciones digitales para ser más eficientes. Al hilo, hace unas semanas, Consultia informaba de la colaboración con </w:t>
      </w:r>
      <w:r w:rsidDel="00000000" w:rsidR="00000000" w:rsidRPr="00000000">
        <w:rPr>
          <w:b w:val="1"/>
          <w:rtl w:val="0"/>
        </w:rPr>
        <w:t xml:space="preserve">Axazure</w:t>
      </w:r>
      <w:r w:rsidDel="00000000" w:rsidR="00000000" w:rsidRPr="00000000">
        <w:rPr>
          <w:rtl w:val="0"/>
        </w:rPr>
        <w:t xml:space="preserve"> con el que ha fortalecido su capacidad para integrar tecnologías avanzadas con el desarrollo del conector de </w:t>
      </w:r>
      <w:r w:rsidDel="00000000" w:rsidR="00000000" w:rsidRPr="00000000">
        <w:rPr>
          <w:b w:val="1"/>
          <w:rtl w:val="0"/>
        </w:rPr>
        <w:t xml:space="preserve">Microsoft Dynamics 365 FnO</w:t>
      </w:r>
      <w:r w:rsidDel="00000000" w:rsidR="00000000" w:rsidRPr="00000000">
        <w:rPr>
          <w:rtl w:val="0"/>
        </w:rPr>
        <w:t xml:space="preserve">, consolidando la posición de Destinux como una herramienta imprescindible para la conectividad y digitalización en la gestión de viajes de negocio.</w:t>
      </w:r>
    </w:p>
    <w:p w:rsidR="00000000" w:rsidDel="00000000" w:rsidP="00000000" w:rsidRDefault="00000000" w:rsidRPr="00000000" w14:paraId="00000032">
      <w:pPr>
        <w:ind w:right="-291"/>
        <w:jc w:val="both"/>
        <w:rPr>
          <w:b w:val="1"/>
          <w:color w:val="000000"/>
          <w:sz w:val="18"/>
          <w:szCs w:val="18"/>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33">
      <w:pPr>
        <w:ind w:right="-291"/>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34">
      <w:pPr>
        <w:spacing w:after="240" w:before="240" w:lineRule="auto"/>
        <w:jc w:val="both"/>
        <w:rPr>
          <w:sz w:val="20"/>
          <w:szCs w:val="20"/>
        </w:rPr>
      </w:pPr>
      <w:r w:rsidDel="00000000" w:rsidR="00000000" w:rsidRPr="00000000">
        <w:rPr>
          <w:sz w:val="20"/>
          <w:szCs w:val="20"/>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w:t>
      </w:r>
    </w:p>
    <w:p w:rsidR="00000000" w:rsidDel="00000000" w:rsidP="00000000" w:rsidRDefault="00000000" w:rsidRPr="00000000" w14:paraId="00000035">
      <w:pPr>
        <w:spacing w:after="240" w:before="240" w:lineRule="auto"/>
        <w:jc w:val="both"/>
        <w:rPr>
          <w:b w:val="1"/>
          <w:sz w:val="18"/>
          <w:szCs w:val="18"/>
          <w:u w:val="single"/>
        </w:rPr>
      </w:pPr>
      <w:r w:rsidDel="00000000" w:rsidR="00000000" w:rsidRPr="00000000">
        <w:rPr>
          <w:sz w:val="20"/>
          <w:szCs w:val="20"/>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r w:rsidDel="00000000" w:rsidR="00000000" w:rsidRPr="00000000">
        <w:rPr>
          <w:rtl w:val="0"/>
        </w:rPr>
      </w:r>
    </w:p>
    <w:p w:rsidR="00000000" w:rsidDel="00000000" w:rsidP="00000000" w:rsidRDefault="00000000" w:rsidRPr="00000000" w14:paraId="00000036">
      <w:pPr>
        <w:jc w:val="both"/>
        <w:rPr>
          <w:b w:val="1"/>
          <w:color w:val="000000"/>
          <w:sz w:val="18"/>
          <w:szCs w:val="18"/>
          <w:u w:val="single"/>
        </w:rPr>
      </w:pPr>
      <w:r w:rsidDel="00000000" w:rsidR="00000000" w:rsidRPr="00000000">
        <w:rPr>
          <w:b w:val="1"/>
          <w:color w:val="000000"/>
          <w:sz w:val="18"/>
          <w:szCs w:val="18"/>
          <w:u w:val="single"/>
          <w:rtl w:val="0"/>
        </w:rPr>
        <w:t xml:space="preserve">CONTACTO</w:t>
      </w:r>
    </w:p>
    <w:p w:rsidR="00000000" w:rsidDel="00000000" w:rsidP="00000000" w:rsidRDefault="00000000" w:rsidRPr="00000000" w14:paraId="00000037">
      <w:pPr>
        <w:jc w:val="both"/>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38">
      <w:pPr>
        <w:jc w:val="both"/>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39">
      <w:pPr>
        <w:jc w:val="both"/>
        <w:rPr>
          <w:color w:val="0000ff"/>
          <w:sz w:val="18"/>
          <w:szCs w:val="18"/>
        </w:rPr>
      </w:pPr>
      <w:r w:rsidDel="00000000" w:rsidR="00000000" w:rsidRPr="00000000">
        <w:rPr>
          <w:color w:val="0000ff"/>
          <w:sz w:val="18"/>
          <w:szCs w:val="18"/>
          <w:u w:val="single"/>
          <w:rtl w:val="0"/>
        </w:rPr>
        <w:t xml:space="preserve">carlota.ramos</w:t>
      </w:r>
      <w:hyperlink r:id="rId9">
        <w:r w:rsidDel="00000000" w:rsidR="00000000" w:rsidRPr="00000000">
          <w:rPr>
            <w:color w:val="0000ff"/>
            <w:sz w:val="18"/>
            <w:szCs w:val="18"/>
            <w:u w:val="single"/>
            <w:rtl w:val="0"/>
          </w:rPr>
          <w:t xml:space="preserve">@actitud.es</w:t>
        </w:r>
      </w:hyperlink>
      <w:r w:rsidDel="00000000" w:rsidR="00000000" w:rsidRPr="00000000">
        <w:rPr>
          <w:rtl w:val="0"/>
        </w:rPr>
      </w:r>
    </w:p>
    <w:p w:rsidR="00000000" w:rsidDel="00000000" w:rsidP="00000000" w:rsidRDefault="00000000" w:rsidRPr="00000000" w14:paraId="0000003A">
      <w:pPr>
        <w:jc w:val="both"/>
        <w:rPr/>
      </w:pPr>
      <w:bookmarkStart w:colFirst="0" w:colLast="0" w:name="_heading=h.30j0zll" w:id="1"/>
      <w:bookmarkEnd w:id="1"/>
      <w:r w:rsidDel="00000000" w:rsidR="00000000" w:rsidRPr="00000000">
        <w:rPr>
          <w:sz w:val="18"/>
          <w:szCs w:val="18"/>
          <w:rtl w:val="0"/>
        </w:rPr>
        <w:t xml:space="preserve">Teléfono: 913022860</w:t>
      </w:r>
      <w:r w:rsidDel="00000000" w:rsidR="00000000" w:rsidRPr="00000000">
        <w:rPr>
          <w:rtl w:val="0"/>
        </w:rPr>
      </w:r>
    </w:p>
    <w:sectPr>
      <w:headerReference r:id="rId10" w:type="default"/>
      <w:pgSz w:h="16838" w:w="11906" w:orient="portrait"/>
      <w:pgMar w:bottom="1418" w:top="198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3815715</wp:posOffset>
          </wp:positionH>
          <wp:positionV relativeFrom="paragraph">
            <wp:posOffset>-259074</wp:posOffset>
          </wp:positionV>
          <wp:extent cx="2352675" cy="772160"/>
          <wp:effectExtent b="0" l="0" r="0" t="0"/>
          <wp:wrapSquare wrapText="bothSides" distB="0" distT="0" distL="114300" distR="114300"/>
          <wp:docPr descr="C:\Users\Actitud-pc1\Downloads\logo_consultia_RGB-scaled.jpg" id="4" name="image1.jpg"/>
          <a:graphic>
            <a:graphicData uri="http://schemas.openxmlformats.org/drawingml/2006/picture">
              <pic:pic>
                <pic:nvPicPr>
                  <pic:cNvPr descr="C:\Users\Actitud-pc1\Downloads\logo_consultia_RGB-scaled.jpg" id="0" name="image1.jpg"/>
                  <pic:cNvPicPr preferRelativeResize="0"/>
                </pic:nvPicPr>
                <pic:blipFill>
                  <a:blip r:embed="rId1"/>
                  <a:srcRect b="33749" l="14488" r="15017" t="33500"/>
                  <a:stretch>
                    <a:fillRect/>
                  </a:stretch>
                </pic:blipFill>
                <pic:spPr>
                  <a:xfrm>
                    <a:off x="0" y="0"/>
                    <a:ext cx="2352675" cy="772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93BD2"/>
    <w:rPr>
      <w:sz w:val="16"/>
      <w:szCs w:val="16"/>
    </w:rPr>
  </w:style>
  <w:style w:type="paragraph" w:styleId="Textocomentario">
    <w:name w:val="annotation text"/>
    <w:basedOn w:val="Normal"/>
    <w:link w:val="TextocomentarioCar"/>
    <w:uiPriority w:val="99"/>
    <w:semiHidden w:val="1"/>
    <w:unhideWhenUsed w:val="1"/>
    <w:rsid w:val="00393BD2"/>
    <w:rPr>
      <w:sz w:val="20"/>
      <w:szCs w:val="20"/>
    </w:rPr>
  </w:style>
  <w:style w:type="character" w:styleId="TextocomentarioCar" w:customStyle="1">
    <w:name w:val="Texto comentario Car"/>
    <w:basedOn w:val="Fuentedeprrafopredeter"/>
    <w:link w:val="Textocomentario"/>
    <w:uiPriority w:val="99"/>
    <w:semiHidden w:val="1"/>
    <w:rsid w:val="00393BD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93BD2"/>
    <w:rPr>
      <w:b w:val="1"/>
      <w:bCs w:val="1"/>
    </w:rPr>
  </w:style>
  <w:style w:type="character" w:styleId="AsuntodelcomentarioCar" w:customStyle="1">
    <w:name w:val="Asunto del comentario Car"/>
    <w:basedOn w:val="TextocomentarioCar"/>
    <w:link w:val="Asuntodelcomentario"/>
    <w:uiPriority w:val="99"/>
    <w:semiHidden w:val="1"/>
    <w:rsid w:val="00393BD2"/>
    <w:rPr>
      <w:b w:val="1"/>
      <w:bCs w:val="1"/>
      <w:sz w:val="20"/>
      <w:szCs w:val="20"/>
    </w:rPr>
  </w:style>
  <w:style w:type="paragraph" w:styleId="Revisin">
    <w:name w:val="Revision"/>
    <w:hidden w:val="1"/>
    <w:uiPriority w:val="99"/>
    <w:semiHidden w:val="1"/>
    <w:rsid w:val="00E92005"/>
  </w:style>
  <w:style w:type="paragraph" w:styleId="Textodeglobo">
    <w:name w:val="Balloon Text"/>
    <w:basedOn w:val="Normal"/>
    <w:link w:val="TextodegloboCar"/>
    <w:uiPriority w:val="99"/>
    <w:semiHidden w:val="1"/>
    <w:unhideWhenUsed w:val="1"/>
    <w:rsid w:val="00C43E7A"/>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43E7A"/>
    <w:rPr>
      <w:rFonts w:ascii="Segoe UI" w:cs="Segoe UI" w:hAnsi="Segoe UI"/>
      <w:sz w:val="18"/>
      <w:szCs w:val="18"/>
    </w:rPr>
  </w:style>
  <w:style w:type="paragraph" w:styleId="Prrafodelista">
    <w:name w:val="List Paragraph"/>
    <w:basedOn w:val="Normal"/>
    <w:uiPriority w:val="34"/>
    <w:qFormat w:val="1"/>
    <w:rsid w:val="00C43E7A"/>
    <w:pPr>
      <w:ind w:left="720"/>
    </w:pPr>
    <w:rPr>
      <w:rFonts w:eastAsiaTheme="minorHAnsi"/>
    </w:rPr>
  </w:style>
  <w:style w:type="paragraph" w:styleId="Sinespaciado">
    <w:name w:val="No Spacing"/>
    <w:uiPriority w:val="1"/>
    <w:qFormat w:val="1"/>
    <w:rsid w:val="00C43E7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aria.contenente@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1ds7NwGJMR97e9kFIFg1BaK7w==">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2024-01-22T11:28:00Z</dcterms:created>
  <dc:creator>actitud comunicacion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